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Pr="007339E4" w:rsidRDefault="0067505E" w:rsidP="00A475C2">
      <w:pPr>
        <w:jc w:val="both"/>
        <w:rPr>
          <w:rFonts w:ascii="Arial" w:hAnsi="Arial" w:cs="Arial"/>
        </w:rPr>
      </w:pPr>
    </w:p>
    <w:p w14:paraId="716C080D" w14:textId="77777777" w:rsidR="00AC610F" w:rsidRPr="007339E4" w:rsidRDefault="00AC610F" w:rsidP="00A475C2">
      <w:pPr>
        <w:jc w:val="center"/>
        <w:rPr>
          <w:rFonts w:ascii="Arial" w:hAnsi="Arial" w:cs="Arial"/>
          <w:b/>
        </w:rPr>
      </w:pPr>
    </w:p>
    <w:p w14:paraId="6FC6F286" w14:textId="2F9B2080" w:rsidR="00925746" w:rsidRDefault="007339E4" w:rsidP="007339E4">
      <w:pPr>
        <w:jc w:val="center"/>
        <w:rPr>
          <w:rFonts w:ascii="Arial" w:hAnsi="Arial" w:cs="Arial"/>
          <w:b/>
          <w:sz w:val="28"/>
          <w:szCs w:val="28"/>
        </w:rPr>
      </w:pPr>
      <w:r w:rsidRPr="007339E4">
        <w:rPr>
          <w:rFonts w:ascii="Arial" w:hAnsi="Arial" w:cs="Arial"/>
          <w:b/>
          <w:sz w:val="28"/>
          <w:szCs w:val="28"/>
        </w:rPr>
        <w:t>MATRIZ DE RISCOS</w:t>
      </w:r>
    </w:p>
    <w:p w14:paraId="6D3AADF5" w14:textId="77777777" w:rsidR="00EE314E" w:rsidRPr="007339E4" w:rsidRDefault="00EE314E" w:rsidP="007339E4">
      <w:pPr>
        <w:jc w:val="center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</w:p>
    <w:p w14:paraId="1779E7E0" w14:textId="265EC0C8" w:rsidR="007339E4" w:rsidRDefault="007339E4" w:rsidP="00EE314E">
      <w:pPr>
        <w:pStyle w:val="Ttulo2"/>
        <w:numPr>
          <w:ilvl w:val="0"/>
          <w:numId w:val="37"/>
        </w:numPr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Identificação do Objeto</w:t>
      </w:r>
    </w:p>
    <w:p w14:paraId="7D1788F3" w14:textId="77777777" w:rsidR="00EE314E" w:rsidRPr="00EE314E" w:rsidRDefault="00EE314E" w:rsidP="00EE314E"/>
    <w:p w14:paraId="6A43B968" w14:textId="77777777" w:rsidR="00EE314E" w:rsidRPr="005564AB" w:rsidRDefault="007339E4" w:rsidP="00EE314E">
      <w:pPr>
        <w:pStyle w:val="NormalWeb"/>
        <w:spacing w:before="0" w:beforeAutospacing="0" w:after="0" w:afterAutospacing="0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Objeto: </w:t>
      </w:r>
      <w:r w:rsidR="00EE314E" w:rsidRPr="00925746">
        <w:rPr>
          <w:rFonts w:ascii="Arial" w:hAnsi="Arial" w:cs="Arial"/>
        </w:rPr>
        <w:t xml:space="preserve">Contratação de empresa legalmente habilitada, com acervo técnico compatível, </w:t>
      </w:r>
      <w:r w:rsidR="00EE314E" w:rsidRPr="005564AB">
        <w:rPr>
          <w:rFonts w:ascii="Arial" w:hAnsi="Arial" w:cs="Arial"/>
        </w:rPr>
        <w:t xml:space="preserve">para </w:t>
      </w:r>
      <w:r w:rsidR="00EE314E" w:rsidRPr="005564AB">
        <w:rPr>
          <w:rStyle w:val="Forte"/>
          <w:rFonts w:ascii="Arial" w:hAnsi="Arial" w:cs="Arial"/>
          <w:b w:val="0"/>
          <w:u w:val="single"/>
        </w:rPr>
        <w:t>elaboração de Projetos Técnicos de Engenharia e Arquitetura</w:t>
      </w:r>
      <w:r w:rsidR="00EE314E" w:rsidRPr="005564AB">
        <w:rPr>
          <w:rFonts w:ascii="Arial" w:hAnsi="Arial" w:cs="Arial"/>
          <w:b/>
          <w:u w:val="single"/>
        </w:rPr>
        <w:t xml:space="preserve">, </w:t>
      </w:r>
      <w:r w:rsidR="00EE314E" w:rsidRPr="005564AB">
        <w:rPr>
          <w:rFonts w:ascii="Arial" w:hAnsi="Arial" w:cs="Arial"/>
          <w:u w:val="single"/>
        </w:rPr>
        <w:t>destinados à instrução de procedimentos licitatórios e posterior execução das</w:t>
      </w:r>
      <w:r w:rsidR="00EE314E" w:rsidRPr="005564AB">
        <w:rPr>
          <w:rFonts w:ascii="Arial" w:hAnsi="Arial" w:cs="Arial"/>
          <w:b/>
          <w:u w:val="single"/>
        </w:rPr>
        <w:t xml:space="preserve"> </w:t>
      </w:r>
      <w:r w:rsidR="00EE314E" w:rsidRPr="005564AB">
        <w:rPr>
          <w:rFonts w:ascii="Arial" w:hAnsi="Arial" w:cs="Arial"/>
          <w:u w:val="single"/>
        </w:rPr>
        <w:t xml:space="preserve">obras do </w:t>
      </w:r>
      <w:r w:rsidR="00EE314E" w:rsidRPr="005564AB">
        <w:rPr>
          <w:rStyle w:val="Forte"/>
          <w:rFonts w:ascii="Arial" w:hAnsi="Arial" w:cs="Arial"/>
          <w:b w:val="0"/>
          <w:u w:val="single"/>
        </w:rPr>
        <w:t>Centro Cultural</w:t>
      </w:r>
      <w:r w:rsidR="00EE314E" w:rsidRPr="005564AB">
        <w:rPr>
          <w:rFonts w:ascii="Arial" w:hAnsi="Arial" w:cs="Arial"/>
          <w:b/>
          <w:u w:val="single"/>
        </w:rPr>
        <w:t xml:space="preserve">, </w:t>
      </w:r>
      <w:r w:rsidR="00EE314E" w:rsidRPr="005564AB">
        <w:rPr>
          <w:rStyle w:val="Forte"/>
          <w:rFonts w:ascii="Arial" w:hAnsi="Arial" w:cs="Arial"/>
          <w:b w:val="0"/>
          <w:u w:val="single"/>
        </w:rPr>
        <w:t>Rodoviária Municipal</w:t>
      </w:r>
      <w:r w:rsidR="00EE314E" w:rsidRPr="005564AB">
        <w:rPr>
          <w:rFonts w:ascii="Arial" w:hAnsi="Arial" w:cs="Arial"/>
          <w:u w:val="single"/>
        </w:rPr>
        <w:t xml:space="preserve"> e parque de Maquinas Rodoviárias, no Município de Rio Bonito do Iguaçu/PR</w:t>
      </w:r>
    </w:p>
    <w:p w14:paraId="23270F69" w14:textId="0EB7B3AA" w:rsidR="007339E4" w:rsidRPr="007339E4" w:rsidRDefault="007339E4" w:rsidP="007339E4">
      <w:pPr>
        <w:pStyle w:val="NormalWeb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Modalidade: </w:t>
      </w:r>
      <w:r w:rsidR="00EE314E">
        <w:rPr>
          <w:rFonts w:ascii="Arial" w:hAnsi="Arial" w:cs="Arial"/>
        </w:rPr>
        <w:t>Dispensa de Licitação – Contratação Emergencial</w:t>
      </w:r>
      <w:r w:rsidRPr="007339E4">
        <w:rPr>
          <w:rFonts w:ascii="Arial" w:hAnsi="Arial" w:cs="Arial"/>
        </w:rPr>
        <w:br/>
        <w:t>Regime de Execução: Empreitada por preço global</w:t>
      </w:r>
      <w:r w:rsidRPr="007339E4">
        <w:rPr>
          <w:rFonts w:ascii="Arial" w:hAnsi="Arial" w:cs="Arial"/>
        </w:rPr>
        <w:br/>
        <w:t xml:space="preserve">Valor Estimado: R$ </w:t>
      </w:r>
      <w:r w:rsidR="00EE314E">
        <w:rPr>
          <w:rFonts w:ascii="Arial" w:hAnsi="Arial" w:cs="Arial"/>
        </w:rPr>
        <w:t>275.000,00</w:t>
      </w:r>
    </w:p>
    <w:p w14:paraId="2A403F4B" w14:textId="33525467" w:rsidR="007339E4" w:rsidRPr="007339E4" w:rsidRDefault="00EE314E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>
        <w:rPr>
          <w:rFonts w:ascii="Arial" w:hAnsi="Arial" w:cs="Arial"/>
          <w:b/>
          <w:color w:val="auto"/>
          <w:sz w:val="24"/>
          <w:szCs w:val="24"/>
        </w:rPr>
        <w:t>2</w:t>
      </w:r>
      <w:r w:rsidR="007339E4" w:rsidRPr="007339E4">
        <w:rPr>
          <w:rFonts w:ascii="Arial" w:hAnsi="Arial" w:cs="Arial"/>
          <w:b/>
          <w:color w:val="auto"/>
          <w:sz w:val="24"/>
          <w:szCs w:val="24"/>
        </w:rPr>
        <w:t>. Premissas Gerais</w:t>
      </w:r>
    </w:p>
    <w:p w14:paraId="58EAC415" w14:textId="77777777" w:rsidR="00EE314E" w:rsidRDefault="00EE314E" w:rsidP="00EE314E">
      <w:pPr>
        <w:rPr>
          <w:rFonts w:ascii="Arial" w:eastAsia="Times New Roman" w:hAnsi="Arial" w:cs="Arial"/>
        </w:rPr>
      </w:pPr>
    </w:p>
    <w:p w14:paraId="605A9A1D" w14:textId="0E7911C3" w:rsidR="00EE314E" w:rsidRDefault="00EE314E" w:rsidP="00EE314E">
      <w:p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- </w:t>
      </w:r>
      <w:r w:rsidRPr="00EE314E">
        <w:rPr>
          <w:rFonts w:ascii="Arial" w:eastAsia="Times New Roman" w:hAnsi="Arial" w:cs="Arial"/>
        </w:rPr>
        <w:t xml:space="preserve"> Regime: empreitada por preço global</w:t>
      </w:r>
    </w:p>
    <w:p w14:paraId="0ED73A8E" w14:textId="548CEF4A" w:rsidR="00EE314E" w:rsidRPr="00EE314E" w:rsidRDefault="00EE314E" w:rsidP="00EE314E">
      <w:p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- </w:t>
      </w:r>
      <w:r w:rsidRPr="00EE314E">
        <w:rPr>
          <w:rFonts w:ascii="Arial" w:eastAsia="Times New Roman" w:hAnsi="Arial" w:cs="Arial"/>
        </w:rPr>
        <w:t>Contratação direta por dispensa emergencial (art. 75, VIII – Lei 14.133/21)</w:t>
      </w:r>
    </w:p>
    <w:p w14:paraId="71EE2243" w14:textId="2986717A" w:rsidR="00EE314E" w:rsidRPr="00EE314E" w:rsidRDefault="00EE314E" w:rsidP="00EE314E">
      <w:p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- </w:t>
      </w:r>
      <w:r w:rsidRPr="00EE314E">
        <w:rPr>
          <w:rFonts w:ascii="Arial" w:eastAsia="Times New Roman" w:hAnsi="Arial" w:cs="Arial"/>
        </w:rPr>
        <w:t>Objeto: elaboração de projetos técnicos completos (arquitetura, engenharia e laudos)</w:t>
      </w:r>
    </w:p>
    <w:p w14:paraId="57A56BE2" w14:textId="6D219B68" w:rsidR="00EE314E" w:rsidRPr="00EE314E" w:rsidRDefault="00EE314E" w:rsidP="00EE314E">
      <w:p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- </w:t>
      </w:r>
      <w:r w:rsidRPr="00EE314E">
        <w:rPr>
          <w:rFonts w:ascii="Arial" w:eastAsia="Times New Roman" w:hAnsi="Arial" w:cs="Arial"/>
        </w:rPr>
        <w:t>Prazo de execução: 60 dias</w:t>
      </w:r>
    </w:p>
    <w:p w14:paraId="0028AD93" w14:textId="1A8D85AB" w:rsidR="00EE314E" w:rsidRDefault="00EE314E" w:rsidP="00EE314E">
      <w:pPr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- </w:t>
      </w:r>
      <w:r w:rsidRPr="00EE314E">
        <w:rPr>
          <w:rFonts w:ascii="Arial" w:eastAsia="Times New Roman" w:hAnsi="Arial" w:cs="Arial"/>
        </w:rPr>
        <w:t>Vigência: 120 dias</w:t>
      </w:r>
    </w:p>
    <w:p w14:paraId="424DC27E" w14:textId="77777777" w:rsidR="00EE314E" w:rsidRPr="00EE314E" w:rsidRDefault="00EE314E" w:rsidP="00EE314E">
      <w:pPr>
        <w:rPr>
          <w:rFonts w:ascii="Arial" w:eastAsia="Times New Roman" w:hAnsi="Arial" w:cs="Arial"/>
        </w:rPr>
      </w:pPr>
    </w:p>
    <w:p w14:paraId="7C1ECABF" w14:textId="77777777" w:rsidR="00EE314E" w:rsidRDefault="00EE314E" w:rsidP="00EE314E">
      <w:pPr>
        <w:pStyle w:val="Ttulo3"/>
        <w:rPr>
          <w:rFonts w:ascii="Times New Roman" w:eastAsia="Times New Roman" w:hAnsi="Times New Roman" w:cs="Times New Roman"/>
          <w:sz w:val="27"/>
          <w:szCs w:val="27"/>
        </w:rPr>
      </w:pPr>
      <w:r w:rsidRPr="00EE314E">
        <w:rPr>
          <w:rFonts w:ascii="Arial" w:hAnsi="Arial" w:cs="Arial"/>
          <w:b/>
          <w:color w:val="auto"/>
        </w:rPr>
        <w:t>2. Tabela da Matriz de Riscos (modelo padrão TCU</w:t>
      </w:r>
      <w:r>
        <w:t>)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6"/>
        <w:gridCol w:w="2432"/>
        <w:gridCol w:w="1161"/>
        <w:gridCol w:w="1251"/>
        <w:gridCol w:w="751"/>
        <w:gridCol w:w="652"/>
        <w:gridCol w:w="1171"/>
        <w:gridCol w:w="2227"/>
      </w:tblGrid>
      <w:tr w:rsidR="00EE314E" w14:paraId="747C5CCE" w14:textId="77777777" w:rsidTr="00EE314E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4454F3BA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Nº</w:t>
            </w:r>
          </w:p>
        </w:tc>
        <w:tc>
          <w:tcPr>
            <w:tcW w:w="0" w:type="auto"/>
            <w:vAlign w:val="center"/>
            <w:hideMark/>
          </w:tcPr>
          <w:p w14:paraId="0A17079B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Risco Identificado</w:t>
            </w:r>
          </w:p>
        </w:tc>
        <w:tc>
          <w:tcPr>
            <w:tcW w:w="0" w:type="auto"/>
            <w:vAlign w:val="center"/>
            <w:hideMark/>
          </w:tcPr>
          <w:p w14:paraId="308B8167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Fase</w:t>
            </w:r>
          </w:p>
        </w:tc>
        <w:tc>
          <w:tcPr>
            <w:tcW w:w="0" w:type="auto"/>
            <w:vAlign w:val="center"/>
            <w:hideMark/>
          </w:tcPr>
          <w:p w14:paraId="72F019D1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Probabilidade</w:t>
            </w:r>
          </w:p>
        </w:tc>
        <w:tc>
          <w:tcPr>
            <w:tcW w:w="0" w:type="auto"/>
            <w:vAlign w:val="center"/>
            <w:hideMark/>
          </w:tcPr>
          <w:p w14:paraId="001B591F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3436A6D8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Nível do Risco</w:t>
            </w:r>
          </w:p>
        </w:tc>
        <w:tc>
          <w:tcPr>
            <w:tcW w:w="0" w:type="auto"/>
            <w:vAlign w:val="center"/>
            <w:hideMark/>
          </w:tcPr>
          <w:p w14:paraId="2FAB893C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Responsável</w:t>
            </w:r>
          </w:p>
        </w:tc>
        <w:tc>
          <w:tcPr>
            <w:tcW w:w="0" w:type="auto"/>
            <w:vAlign w:val="center"/>
            <w:hideMark/>
          </w:tcPr>
          <w:p w14:paraId="62BC7FB6" w14:textId="77777777" w:rsidR="00EE314E" w:rsidRPr="00EE314E" w:rsidRDefault="00EE314E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EE314E">
              <w:rPr>
                <w:rFonts w:ascii="Arial" w:hAnsi="Arial" w:cs="Arial"/>
                <w:b/>
                <w:bCs/>
                <w:sz w:val="18"/>
                <w:szCs w:val="18"/>
              </w:rPr>
              <w:t>Medidas de Mitigação</w:t>
            </w:r>
          </w:p>
        </w:tc>
      </w:tr>
      <w:tr w:rsidR="00EE314E" w14:paraId="1A1F7AFD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01360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14:paraId="6383B497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Atraso na entrega dos projetos técnicos</w:t>
            </w:r>
          </w:p>
        </w:tc>
        <w:tc>
          <w:tcPr>
            <w:tcW w:w="0" w:type="auto"/>
            <w:vAlign w:val="center"/>
            <w:hideMark/>
          </w:tcPr>
          <w:p w14:paraId="4EB3E83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66E033E9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23458B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6D3D6ED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68D193E1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B230910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Cronograma físico detalhado; reuniões semanais; aplicação de sanções contratuais</w:t>
            </w:r>
          </w:p>
        </w:tc>
      </w:tr>
      <w:tr w:rsidR="00EE314E" w:rsidRPr="00EE314E" w14:paraId="0131E7A2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BDFD0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14:paraId="47A0A319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 xml:space="preserve">Incompatibilização entre projetos (arquitetônico, estrutural, elétrico, </w:t>
            </w:r>
            <w:proofErr w:type="spellStart"/>
            <w:r w:rsidRPr="00EE314E">
              <w:rPr>
                <w:rFonts w:ascii="Arial" w:hAnsi="Arial" w:cs="Arial"/>
                <w:sz w:val="18"/>
                <w:szCs w:val="18"/>
              </w:rPr>
              <w:t>hidrossanitário</w:t>
            </w:r>
            <w:proofErr w:type="spellEnd"/>
            <w:r w:rsidRPr="00EE314E">
              <w:rPr>
                <w:rFonts w:ascii="Arial" w:hAnsi="Arial" w:cs="Arial"/>
                <w:sz w:val="18"/>
                <w:szCs w:val="18"/>
              </w:rPr>
              <w:t>, incêndio e SPDA)</w:t>
            </w:r>
          </w:p>
        </w:tc>
        <w:tc>
          <w:tcPr>
            <w:tcW w:w="0" w:type="auto"/>
            <w:vAlign w:val="center"/>
            <w:hideMark/>
          </w:tcPr>
          <w:p w14:paraId="789DE0B4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5BC24570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6EEB0D4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4E02985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549C48C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0AA1EDF1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Exigência de compatibilização integrada; revisão técnica interna antes da entrega</w:t>
            </w:r>
          </w:p>
        </w:tc>
      </w:tr>
      <w:tr w:rsidR="00EE314E" w14:paraId="13158AD3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8FE45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15383AD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Projetos em desacordo com normas da ABNT ou legislação vigente</w:t>
            </w:r>
          </w:p>
        </w:tc>
        <w:tc>
          <w:tcPr>
            <w:tcW w:w="0" w:type="auto"/>
            <w:vAlign w:val="center"/>
            <w:hideMark/>
          </w:tcPr>
          <w:p w14:paraId="29374ADD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493FCF8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300A818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E181D6B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1E2D51A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BA1A3CB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Profissionais habilitados; conferência normativa; ART/RRT obrigatória</w:t>
            </w:r>
          </w:p>
        </w:tc>
      </w:tr>
      <w:tr w:rsidR="00EE314E" w14:paraId="0FA8FC40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7B7F9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14:paraId="68DAB3D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Indeferimento de projetos pelos órgãos licenciadores (ex.: Corpo de Bombeiros)</w:t>
            </w:r>
          </w:p>
        </w:tc>
        <w:tc>
          <w:tcPr>
            <w:tcW w:w="0" w:type="auto"/>
            <w:vAlign w:val="center"/>
            <w:hideMark/>
          </w:tcPr>
          <w:p w14:paraId="2933610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Pós-entrega</w:t>
            </w:r>
          </w:p>
        </w:tc>
        <w:tc>
          <w:tcPr>
            <w:tcW w:w="0" w:type="auto"/>
            <w:vAlign w:val="center"/>
            <w:hideMark/>
          </w:tcPr>
          <w:p w14:paraId="331F374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F981C1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97AB03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2C8071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1EC53C5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Elaboração conforme exigências legais; atendimento às instruções normativas locais</w:t>
            </w:r>
          </w:p>
        </w:tc>
      </w:tr>
      <w:tr w:rsidR="00EE314E" w14:paraId="101B62A4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E1D58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14:paraId="52C9714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Erros de dimensionamento ou falhas técnicas nos projetos</w:t>
            </w:r>
          </w:p>
        </w:tc>
        <w:tc>
          <w:tcPr>
            <w:tcW w:w="0" w:type="auto"/>
            <w:vAlign w:val="center"/>
            <w:hideMark/>
          </w:tcPr>
          <w:p w14:paraId="150CD8A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28E0B9F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504BFCA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0E2828B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5AE1DF0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73BF61E4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Revisão técnica criteriosa; responsabilidade técnica integral da contratada</w:t>
            </w:r>
          </w:p>
        </w:tc>
      </w:tr>
      <w:tr w:rsidR="00EE314E" w:rsidRPr="00EE314E" w14:paraId="628E870E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A3D5F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6</w:t>
            </w:r>
          </w:p>
        </w:tc>
        <w:tc>
          <w:tcPr>
            <w:tcW w:w="0" w:type="auto"/>
            <w:vAlign w:val="center"/>
            <w:hideMark/>
          </w:tcPr>
          <w:p w14:paraId="79543AE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Necessidade de retrabalho por falhas de levantamento de dados (topografia, sondagem, percolação)</w:t>
            </w:r>
          </w:p>
        </w:tc>
        <w:tc>
          <w:tcPr>
            <w:tcW w:w="0" w:type="auto"/>
            <w:vAlign w:val="center"/>
            <w:hideMark/>
          </w:tcPr>
          <w:p w14:paraId="2F645F0D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389F32F1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E720A6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080552B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4F429BF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965D44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Realização correta de SPT e testes de percolação conforme normas ABNT</w:t>
            </w:r>
          </w:p>
        </w:tc>
      </w:tr>
      <w:tr w:rsidR="00EE314E" w:rsidRPr="00EE314E" w14:paraId="1CEF4449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E0124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0" w:type="auto"/>
            <w:vAlign w:val="center"/>
            <w:hideMark/>
          </w:tcPr>
          <w:p w14:paraId="7F2B1B97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Atraso na liberação de informações ou diretrizes pela Administração</w:t>
            </w:r>
          </w:p>
        </w:tc>
        <w:tc>
          <w:tcPr>
            <w:tcW w:w="0" w:type="auto"/>
            <w:vAlign w:val="center"/>
            <w:hideMark/>
          </w:tcPr>
          <w:p w14:paraId="33CE673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105A907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7D64AC6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1A3795D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617CDEA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14:paraId="0E77972D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Designação de fiscal e gestor; respostas formais em prazo razoável</w:t>
            </w:r>
          </w:p>
        </w:tc>
      </w:tr>
      <w:tr w:rsidR="00EE314E" w:rsidRPr="00EE314E" w14:paraId="414A7B66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1B5B12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8</w:t>
            </w:r>
          </w:p>
        </w:tc>
        <w:tc>
          <w:tcPr>
            <w:tcW w:w="0" w:type="auto"/>
            <w:vAlign w:val="center"/>
            <w:hideMark/>
          </w:tcPr>
          <w:p w14:paraId="0E817E02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Falta de disponibilidade de profissionais-chave da contratada</w:t>
            </w:r>
          </w:p>
        </w:tc>
        <w:tc>
          <w:tcPr>
            <w:tcW w:w="0" w:type="auto"/>
            <w:vAlign w:val="center"/>
            <w:hideMark/>
          </w:tcPr>
          <w:p w14:paraId="18CBDC9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5FDB03E4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70313D02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2BFE673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Baixo</w:t>
            </w:r>
          </w:p>
        </w:tc>
        <w:tc>
          <w:tcPr>
            <w:tcW w:w="0" w:type="auto"/>
            <w:vAlign w:val="center"/>
            <w:hideMark/>
          </w:tcPr>
          <w:p w14:paraId="59CB968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725BA80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Manutenção da equipe técnica mínima exigida durante toda a execução</w:t>
            </w:r>
          </w:p>
        </w:tc>
      </w:tr>
      <w:tr w:rsidR="00EE314E" w:rsidRPr="00EE314E" w14:paraId="04B2070D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6CC3F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9</w:t>
            </w:r>
          </w:p>
        </w:tc>
        <w:tc>
          <w:tcPr>
            <w:tcW w:w="0" w:type="auto"/>
            <w:vAlign w:val="center"/>
            <w:hideMark/>
          </w:tcPr>
          <w:p w14:paraId="24A667EB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Problemas na fiscalização e acompanhamento do contrato</w:t>
            </w:r>
          </w:p>
        </w:tc>
        <w:tc>
          <w:tcPr>
            <w:tcW w:w="0" w:type="auto"/>
            <w:vAlign w:val="center"/>
            <w:hideMark/>
          </w:tcPr>
          <w:p w14:paraId="1EED7B0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1794F75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48E25305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2D97D569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Baixo</w:t>
            </w:r>
          </w:p>
        </w:tc>
        <w:tc>
          <w:tcPr>
            <w:tcW w:w="0" w:type="auto"/>
            <w:vAlign w:val="center"/>
            <w:hideMark/>
          </w:tcPr>
          <w:p w14:paraId="34E2FAE1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14:paraId="02BF6C7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Designação formal de fiscal e gestor; registros em relatórios técnicos</w:t>
            </w:r>
          </w:p>
        </w:tc>
      </w:tr>
      <w:tr w:rsidR="00EE314E" w:rsidRPr="00EE314E" w14:paraId="320FE2E6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C53912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0" w:type="auto"/>
            <w:vAlign w:val="center"/>
            <w:hideMark/>
          </w:tcPr>
          <w:p w14:paraId="752B2C9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Questionamentos por órgãos de controle sobre a contratação emergencial</w:t>
            </w:r>
          </w:p>
        </w:tc>
        <w:tc>
          <w:tcPr>
            <w:tcW w:w="0" w:type="auto"/>
            <w:vAlign w:val="center"/>
            <w:hideMark/>
          </w:tcPr>
          <w:p w14:paraId="145B5FB9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Planejamento</w:t>
            </w:r>
          </w:p>
        </w:tc>
        <w:tc>
          <w:tcPr>
            <w:tcW w:w="0" w:type="auto"/>
            <w:vAlign w:val="center"/>
            <w:hideMark/>
          </w:tcPr>
          <w:p w14:paraId="10740A3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Média</w:t>
            </w:r>
          </w:p>
        </w:tc>
        <w:tc>
          <w:tcPr>
            <w:tcW w:w="0" w:type="auto"/>
            <w:vAlign w:val="center"/>
            <w:hideMark/>
          </w:tcPr>
          <w:p w14:paraId="4EB87077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14BF5D93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0C7589CD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Contratante</w:t>
            </w:r>
          </w:p>
        </w:tc>
        <w:tc>
          <w:tcPr>
            <w:tcW w:w="0" w:type="auto"/>
            <w:vAlign w:val="center"/>
            <w:hideMark/>
          </w:tcPr>
          <w:p w14:paraId="14343632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Justificativa robusta; ETP, TR, matriz de riscos e comprovação da emergência</w:t>
            </w:r>
          </w:p>
        </w:tc>
      </w:tr>
      <w:tr w:rsidR="00EE314E" w:rsidRPr="00EE314E" w14:paraId="2DD45DF0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805704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2496F68B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Subestimação do esforço técnico necessário</w:t>
            </w:r>
          </w:p>
        </w:tc>
        <w:tc>
          <w:tcPr>
            <w:tcW w:w="0" w:type="auto"/>
            <w:vAlign w:val="center"/>
            <w:hideMark/>
          </w:tcPr>
          <w:p w14:paraId="4E7CEDE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Execução</w:t>
            </w:r>
          </w:p>
        </w:tc>
        <w:tc>
          <w:tcPr>
            <w:tcW w:w="0" w:type="auto"/>
            <w:vAlign w:val="center"/>
            <w:hideMark/>
          </w:tcPr>
          <w:p w14:paraId="29C0056C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Baixa</w:t>
            </w:r>
          </w:p>
        </w:tc>
        <w:tc>
          <w:tcPr>
            <w:tcW w:w="0" w:type="auto"/>
            <w:vAlign w:val="center"/>
            <w:hideMark/>
          </w:tcPr>
          <w:p w14:paraId="469CCACA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081C76F6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Baixo</w:t>
            </w:r>
          </w:p>
        </w:tc>
        <w:tc>
          <w:tcPr>
            <w:tcW w:w="0" w:type="auto"/>
            <w:vAlign w:val="center"/>
            <w:hideMark/>
          </w:tcPr>
          <w:p w14:paraId="470C6B19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Contratada</w:t>
            </w:r>
          </w:p>
        </w:tc>
        <w:tc>
          <w:tcPr>
            <w:tcW w:w="0" w:type="auto"/>
            <w:vAlign w:val="center"/>
            <w:hideMark/>
          </w:tcPr>
          <w:p w14:paraId="42756C9B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Responsabilidade pelo correto dimensionamento da proposta</w:t>
            </w:r>
          </w:p>
        </w:tc>
      </w:tr>
      <w:tr w:rsidR="00EE314E" w:rsidRPr="00EE314E" w14:paraId="687CFEB4" w14:textId="77777777" w:rsidTr="00EE314E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247BAE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0" w:type="auto"/>
            <w:vAlign w:val="center"/>
            <w:hideMark/>
          </w:tcPr>
          <w:p w14:paraId="5DA9A497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Descumprimento do prazo máximo legal da contratação emergencial</w:t>
            </w:r>
          </w:p>
        </w:tc>
        <w:tc>
          <w:tcPr>
            <w:tcW w:w="0" w:type="auto"/>
            <w:vAlign w:val="center"/>
            <w:hideMark/>
          </w:tcPr>
          <w:p w14:paraId="501C21A7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Gestão</w:t>
            </w:r>
          </w:p>
        </w:tc>
        <w:tc>
          <w:tcPr>
            <w:tcW w:w="0" w:type="auto"/>
            <w:vAlign w:val="center"/>
            <w:hideMark/>
          </w:tcPr>
          <w:p w14:paraId="6243D39D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  <w:r w:rsidRPr="00EE314E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0" w:type="auto"/>
            <w:vAlign w:val="center"/>
            <w:hideMark/>
          </w:tcPr>
          <w:p w14:paraId="5F1A26F8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14:paraId="0955D861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14:paraId="3D5AC460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0" w:type="auto"/>
            <w:vAlign w:val="center"/>
            <w:hideMark/>
          </w:tcPr>
          <w:p w14:paraId="5E2C671F" w14:textId="77777777" w:rsidR="00EE314E" w:rsidRPr="00EE314E" w:rsidRDefault="00EE314E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3C011563" w14:textId="77777777" w:rsidR="007339E4" w:rsidRDefault="007339E4" w:rsidP="007339E4">
      <w:pPr>
        <w:pStyle w:val="Ttulo2"/>
        <w:rPr>
          <w:rFonts w:ascii="Arial" w:hAnsi="Arial" w:cs="Arial"/>
          <w:sz w:val="24"/>
          <w:szCs w:val="24"/>
        </w:rPr>
      </w:pPr>
    </w:p>
    <w:p w14:paraId="4060A5C9" w14:textId="116DCA93" w:rsidR="007339E4" w:rsidRP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5. Alocação dos Riscos</w:t>
      </w:r>
    </w:p>
    <w:p w14:paraId="56C4D3C1" w14:textId="77777777" w:rsidR="007339E4" w:rsidRPr="007339E4" w:rsidRDefault="007339E4" w:rsidP="007339E4">
      <w:pPr>
        <w:pStyle w:val="NormalWeb"/>
        <w:ind w:firstLine="708"/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alocação dos riscos foi definida considerando a capacidade de cada parte em gerenciá-los de forma mais eficiente, sendo atribuídos à Contratada os riscos inerentes à execução da obra e à Contratante aqueles relacionados a fatores externos à atuação direta da empresa executora.</w:t>
      </w:r>
    </w:p>
    <w:p w14:paraId="57FC74BE" w14:textId="69CA9285" w:rsidR="007339E4" w:rsidRPr="007339E4" w:rsidRDefault="007339E4" w:rsidP="007339E4">
      <w:pPr>
        <w:pStyle w:val="Ttulo2"/>
        <w:rPr>
          <w:rFonts w:ascii="Arial" w:hAnsi="Arial" w:cs="Arial"/>
          <w:b/>
          <w:color w:val="auto"/>
          <w:sz w:val="24"/>
          <w:szCs w:val="24"/>
        </w:rPr>
      </w:pPr>
      <w:r w:rsidRPr="007339E4">
        <w:rPr>
          <w:rFonts w:ascii="Arial" w:hAnsi="Arial" w:cs="Arial"/>
          <w:b/>
          <w:color w:val="auto"/>
          <w:sz w:val="24"/>
          <w:szCs w:val="24"/>
        </w:rPr>
        <w:t>6. Conclusão</w:t>
      </w:r>
    </w:p>
    <w:p w14:paraId="0B1790DE" w14:textId="77777777" w:rsidR="007339E4" w:rsidRPr="007339E4" w:rsidRDefault="007339E4" w:rsidP="007339E4">
      <w:pPr>
        <w:pStyle w:val="NormalWeb"/>
        <w:ind w:firstLine="708"/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A presente Matriz de Riscos demonstra que os riscos associados à contratação são conhecidos, mensuráveis e passíveis de mitigação, não comprometendo a viabilidade da contratação, estando em conformidade com a Lei nº 14.133/2021 e as boas práticas de gestão de riscos em contratações públicas.</w:t>
      </w:r>
    </w:p>
    <w:p w14:paraId="221D4115" w14:textId="4006ED69" w:rsidR="007339E4" w:rsidRPr="007339E4" w:rsidRDefault="007339E4" w:rsidP="007339E4">
      <w:pPr>
        <w:rPr>
          <w:rFonts w:ascii="Arial" w:hAnsi="Arial" w:cs="Arial"/>
        </w:rPr>
      </w:pPr>
    </w:p>
    <w:p w14:paraId="3E53015B" w14:textId="7573D4DE" w:rsidR="00925746" w:rsidRPr="007339E4" w:rsidRDefault="00925746" w:rsidP="00EF481E">
      <w:pPr>
        <w:pStyle w:val="NormalWeb"/>
        <w:jc w:val="right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Rio Bonito do Iguaçu – PR, </w:t>
      </w:r>
      <w:r w:rsidR="00EE314E">
        <w:rPr>
          <w:rFonts w:ascii="Arial" w:hAnsi="Arial" w:cs="Arial"/>
        </w:rPr>
        <w:t>02</w:t>
      </w:r>
      <w:r w:rsidRPr="007339E4">
        <w:rPr>
          <w:rFonts w:ascii="Arial" w:hAnsi="Arial" w:cs="Arial"/>
        </w:rPr>
        <w:t xml:space="preserve"> de </w:t>
      </w:r>
      <w:r w:rsidR="00EE314E">
        <w:rPr>
          <w:rFonts w:ascii="Arial" w:hAnsi="Arial" w:cs="Arial"/>
        </w:rPr>
        <w:t>fevereiro</w:t>
      </w:r>
      <w:r w:rsidRPr="007339E4">
        <w:rPr>
          <w:rFonts w:ascii="Arial" w:hAnsi="Arial" w:cs="Arial"/>
        </w:rPr>
        <w:t xml:space="preserve"> de 2026.</w:t>
      </w:r>
    </w:p>
    <w:p w14:paraId="2BE814C1" w14:textId="778BDFA3" w:rsidR="00141156" w:rsidRPr="007339E4" w:rsidRDefault="00141156" w:rsidP="00A475C2">
      <w:pPr>
        <w:jc w:val="both"/>
        <w:rPr>
          <w:rFonts w:ascii="Arial" w:hAnsi="Arial" w:cs="Arial"/>
        </w:rPr>
      </w:pPr>
    </w:p>
    <w:p w14:paraId="1D242682" w14:textId="419AA49D" w:rsidR="00925746" w:rsidRPr="007339E4" w:rsidRDefault="00925746" w:rsidP="00A475C2">
      <w:pPr>
        <w:jc w:val="both"/>
        <w:rPr>
          <w:rFonts w:ascii="Arial" w:hAnsi="Arial" w:cs="Arial"/>
        </w:rPr>
      </w:pPr>
    </w:p>
    <w:p w14:paraId="64A9F2A0" w14:textId="77777777" w:rsidR="00925746" w:rsidRPr="007339E4" w:rsidRDefault="00925746" w:rsidP="00A475C2">
      <w:pPr>
        <w:jc w:val="both"/>
        <w:rPr>
          <w:rFonts w:ascii="Arial" w:hAnsi="Arial" w:cs="Arial"/>
        </w:rPr>
      </w:pPr>
    </w:p>
    <w:p w14:paraId="73FA1006" w14:textId="77777777" w:rsidR="00141156" w:rsidRPr="007339E4" w:rsidRDefault="00141156" w:rsidP="00A475C2">
      <w:pPr>
        <w:jc w:val="both"/>
        <w:rPr>
          <w:rFonts w:ascii="Arial" w:hAnsi="Arial" w:cs="Arial"/>
        </w:rPr>
      </w:pPr>
    </w:p>
    <w:p w14:paraId="1FB6ECA9" w14:textId="2646367D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>____________________________                  ________________________</w:t>
      </w:r>
    </w:p>
    <w:p w14:paraId="47A1C485" w14:textId="7A4D8429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  <w:b/>
        </w:rPr>
        <w:t xml:space="preserve">     </w:t>
      </w:r>
      <w:r w:rsidR="007A2217" w:rsidRPr="007339E4">
        <w:rPr>
          <w:rFonts w:ascii="Arial" w:hAnsi="Arial" w:cs="Arial"/>
          <w:b/>
        </w:rPr>
        <w:t>Amarildo Gomes de Almeida</w:t>
      </w:r>
      <w:r w:rsidRPr="007339E4">
        <w:rPr>
          <w:rFonts w:ascii="Arial" w:hAnsi="Arial" w:cs="Arial"/>
          <w:b/>
        </w:rPr>
        <w:tab/>
      </w:r>
      <w:r w:rsidRPr="007339E4">
        <w:rPr>
          <w:rFonts w:ascii="Arial" w:hAnsi="Arial" w:cs="Arial"/>
          <w:b/>
        </w:rPr>
        <w:tab/>
        <w:t xml:space="preserve">    </w:t>
      </w:r>
      <w:r w:rsidR="007A2217" w:rsidRPr="007339E4">
        <w:rPr>
          <w:rFonts w:ascii="Arial" w:hAnsi="Arial" w:cs="Arial"/>
          <w:b/>
        </w:rPr>
        <w:t>Enio Augusto S. da Luz</w:t>
      </w:r>
    </w:p>
    <w:p w14:paraId="23FCF3D7" w14:textId="54CE2415" w:rsidR="00083A87" w:rsidRPr="007339E4" w:rsidRDefault="00083A8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              </w:t>
      </w:r>
      <w:r w:rsidR="007A2217" w:rsidRPr="007339E4">
        <w:rPr>
          <w:rFonts w:ascii="Arial" w:hAnsi="Arial" w:cs="Arial"/>
        </w:rPr>
        <w:t>Desenhista Projetista</w:t>
      </w:r>
      <w:r w:rsidRPr="007339E4">
        <w:rPr>
          <w:rFonts w:ascii="Arial" w:hAnsi="Arial" w:cs="Arial"/>
        </w:rPr>
        <w:tab/>
      </w:r>
      <w:r w:rsidRPr="007339E4">
        <w:rPr>
          <w:rFonts w:ascii="Arial" w:hAnsi="Arial" w:cs="Arial"/>
        </w:rPr>
        <w:tab/>
      </w:r>
      <w:r w:rsidRPr="007339E4">
        <w:rPr>
          <w:rFonts w:ascii="Arial" w:hAnsi="Arial" w:cs="Arial"/>
        </w:rPr>
        <w:tab/>
        <w:t xml:space="preserve">Eng. Civil – CREA = </w:t>
      </w:r>
      <w:r w:rsidR="00E32EA7" w:rsidRPr="007339E4">
        <w:rPr>
          <w:rFonts w:ascii="Arial" w:hAnsi="Arial" w:cs="Arial"/>
        </w:rPr>
        <w:t>219227</w:t>
      </w:r>
      <w:r w:rsidRPr="007339E4">
        <w:rPr>
          <w:rFonts w:ascii="Arial" w:hAnsi="Arial" w:cs="Arial"/>
        </w:rPr>
        <w:t xml:space="preserve">/D </w:t>
      </w:r>
    </w:p>
    <w:p w14:paraId="3FC0D494" w14:textId="72A636CC" w:rsidR="00C0116C" w:rsidRPr="007339E4" w:rsidRDefault="007A2217" w:rsidP="00A475C2">
      <w:pPr>
        <w:jc w:val="both"/>
        <w:rPr>
          <w:rFonts w:ascii="Arial" w:hAnsi="Arial" w:cs="Arial"/>
        </w:rPr>
      </w:pPr>
      <w:r w:rsidRPr="007339E4">
        <w:rPr>
          <w:rFonts w:ascii="Arial" w:hAnsi="Arial" w:cs="Arial"/>
        </w:rPr>
        <w:t xml:space="preserve">     </w:t>
      </w:r>
      <w:r w:rsidR="00E164A2" w:rsidRPr="007339E4">
        <w:rPr>
          <w:rFonts w:ascii="Arial" w:hAnsi="Arial" w:cs="Arial"/>
        </w:rPr>
        <w:t xml:space="preserve">  </w:t>
      </w:r>
      <w:r w:rsidRPr="007339E4">
        <w:rPr>
          <w:rFonts w:ascii="Arial" w:hAnsi="Arial" w:cs="Arial"/>
        </w:rPr>
        <w:t xml:space="preserve">Resp. </w:t>
      </w:r>
      <w:proofErr w:type="spellStart"/>
      <w:r w:rsidRPr="007339E4">
        <w:rPr>
          <w:rFonts w:ascii="Arial" w:hAnsi="Arial" w:cs="Arial"/>
        </w:rPr>
        <w:t>Depto</w:t>
      </w:r>
      <w:proofErr w:type="spellEnd"/>
      <w:r w:rsidRPr="007339E4">
        <w:rPr>
          <w:rFonts w:ascii="Arial" w:hAnsi="Arial" w:cs="Arial"/>
        </w:rPr>
        <w:t xml:space="preserve">. </w:t>
      </w:r>
      <w:proofErr w:type="gramStart"/>
      <w:r w:rsidRPr="007339E4">
        <w:rPr>
          <w:rFonts w:ascii="Arial" w:hAnsi="Arial" w:cs="Arial"/>
        </w:rPr>
        <w:t>de</w:t>
      </w:r>
      <w:proofErr w:type="gramEnd"/>
      <w:r w:rsidRPr="007339E4">
        <w:rPr>
          <w:rFonts w:ascii="Arial" w:hAnsi="Arial" w:cs="Arial"/>
        </w:rPr>
        <w:t xml:space="preserve"> Engenharia</w:t>
      </w:r>
    </w:p>
    <w:sectPr w:rsidR="00C0116C" w:rsidRPr="007339E4" w:rsidSect="007339E4">
      <w:headerReference w:type="default" r:id="rId8"/>
      <w:footerReference w:type="default" r:id="rId9"/>
      <w:pgSz w:w="11906" w:h="16838"/>
      <w:pgMar w:top="1452" w:right="1134" w:bottom="142" w:left="851" w:header="35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ADF2F80" w14:textId="77777777" w:rsidR="002B6919" w:rsidRDefault="002B6919" w:rsidP="0067505E">
      <w:r>
        <w:separator/>
      </w:r>
    </w:p>
  </w:endnote>
  <w:endnote w:type="continuationSeparator" w:id="0">
    <w:p w14:paraId="6B763540" w14:textId="77777777" w:rsidR="002B6919" w:rsidRDefault="002B6919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508F5D5A" w:rsidR="00496F7B" w:rsidRDefault="00496F7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E314E">
          <w:rPr>
            <w:noProof/>
          </w:rPr>
          <w:t>1</w:t>
        </w:r>
        <w:r>
          <w:fldChar w:fldCharType="end"/>
        </w:r>
      </w:p>
    </w:sdtContent>
  </w:sdt>
  <w:p w14:paraId="078AB57F" w14:textId="77777777" w:rsidR="00496F7B" w:rsidRDefault="00496F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3CA3F17" w14:textId="77777777" w:rsidR="002B6919" w:rsidRDefault="002B6919" w:rsidP="0067505E">
      <w:r>
        <w:separator/>
      </w:r>
    </w:p>
  </w:footnote>
  <w:footnote w:type="continuationSeparator" w:id="0">
    <w:p w14:paraId="67E99393" w14:textId="77777777" w:rsidR="002B6919" w:rsidRDefault="002B6919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73C39CE1" w:rsidR="00496F7B" w:rsidRDefault="007339E4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40F8C548">
          <wp:simplePos x="0" y="0"/>
          <wp:positionH relativeFrom="page">
            <wp:posOffset>347885</wp:posOffset>
          </wp:positionH>
          <wp:positionV relativeFrom="paragraph">
            <wp:posOffset>63026</wp:posOffset>
          </wp:positionV>
          <wp:extent cx="1385443" cy="1077468"/>
          <wp:effectExtent l="57150" t="57150" r="24765" b="46990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96F7B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0BF2917A" w:rsidR="00496F7B" w:rsidRPr="00720629" w:rsidRDefault="00496F7B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668" w:type="dxa"/>
      <w:tblLook w:val="04A0" w:firstRow="1" w:lastRow="0" w:firstColumn="1" w:lastColumn="0" w:noHBand="0" w:noVBand="1"/>
    </w:tblPr>
    <w:tblGrid>
      <w:gridCol w:w="5344"/>
      <w:gridCol w:w="324"/>
    </w:tblGrid>
    <w:tr w:rsidR="00496F7B" w:rsidRPr="00BB62E6" w14:paraId="48DE6E7A" w14:textId="77777777" w:rsidTr="007339E4">
      <w:trPr>
        <w:trHeight w:val="967"/>
      </w:trPr>
      <w:tc>
        <w:tcPr>
          <w:tcW w:w="5344" w:type="dxa"/>
          <w:shd w:val="clear" w:color="auto" w:fill="auto"/>
        </w:tcPr>
        <w:p w14:paraId="4147B49B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496F7B" w:rsidRPr="00244471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324" w:type="dxa"/>
          <w:shd w:val="clear" w:color="auto" w:fill="auto"/>
        </w:tcPr>
        <w:p w14:paraId="0D5D2198" w14:textId="77777777" w:rsidR="00496F7B" w:rsidRPr="00BB62E6" w:rsidRDefault="00496F7B" w:rsidP="007339E4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841293F" w14:textId="77777777" w:rsidR="00496F7B" w:rsidRPr="00720629" w:rsidRDefault="00496F7B" w:rsidP="0011372D">
    <w:pPr>
      <w:spacing w:after="160" w:line="259" w:lineRule="auto"/>
      <w:rPr>
        <w:rFonts w:ascii="Calibri" w:eastAsia="Calibri" w:hAnsi="Calibri"/>
        <w:sz w:val="22"/>
        <w:szCs w:val="22"/>
        <w:lang w:eastAsia="en-US"/>
      </w:rPr>
    </w:pPr>
  </w:p>
  <w:p w14:paraId="16D81115" w14:textId="77777777" w:rsidR="00496F7B" w:rsidRPr="00720629" w:rsidRDefault="00496F7B" w:rsidP="0011372D">
    <w:pPr>
      <w:spacing w:after="160" w:line="259" w:lineRule="auto"/>
      <w:jc w:val="center"/>
      <w:rPr>
        <w:rFonts w:ascii="Calibri" w:eastAsia="Calibri" w:hAnsi="Calibri" w:cs="Calibri"/>
        <w:lang w:eastAsia="en-US"/>
      </w:rPr>
    </w:pPr>
  </w:p>
  <w:p w14:paraId="7A141922" w14:textId="77777777" w:rsidR="00496F7B" w:rsidRDefault="00496F7B" w:rsidP="0011372D"/>
  <w:tbl>
    <w:tblPr>
      <w:tblpPr w:leftFromText="141" w:rightFromText="141" w:vertAnchor="text" w:horzAnchor="margin" w:tblpY="181"/>
      <w:tblW w:w="7466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71"/>
      <w:gridCol w:w="5995"/>
    </w:tblGrid>
    <w:tr w:rsidR="00496F7B" w:rsidRPr="005B2927" w14:paraId="6F4F05B4" w14:textId="77777777" w:rsidTr="005B66F7">
      <w:trPr>
        <w:trHeight w:val="80"/>
      </w:trPr>
      <w:tc>
        <w:tcPr>
          <w:tcW w:w="1471" w:type="dxa"/>
          <w:tcBorders>
            <w:bottom w:val="nil"/>
          </w:tcBorders>
          <w:shd w:val="clear" w:color="auto" w:fill="auto"/>
        </w:tcPr>
        <w:p w14:paraId="70152AA1" w14:textId="77777777" w:rsidR="00496F7B" w:rsidRPr="005B2927" w:rsidRDefault="00496F7B" w:rsidP="005B66F7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5995" w:type="dxa"/>
          <w:tcBorders>
            <w:bottom w:val="nil"/>
          </w:tcBorders>
          <w:shd w:val="clear" w:color="auto" w:fill="auto"/>
        </w:tcPr>
        <w:p w14:paraId="7C605E94" w14:textId="77777777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0A4B0DE2" w:rsidR="00496F7B" w:rsidRDefault="00496F7B" w:rsidP="005B66F7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 xml:space="preserve"> </w:t>
          </w: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496F7B" w:rsidRPr="001252DD" w:rsidRDefault="00496F7B" w:rsidP="005B66F7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496F7B" w:rsidRDefault="00496F7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97FD8"/>
    <w:multiLevelType w:val="multilevel"/>
    <w:tmpl w:val="B0342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2036AD"/>
    <w:multiLevelType w:val="multilevel"/>
    <w:tmpl w:val="8B4AF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F056BD"/>
    <w:multiLevelType w:val="multilevel"/>
    <w:tmpl w:val="2FF4EC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0C2945BC"/>
    <w:multiLevelType w:val="hybridMultilevel"/>
    <w:tmpl w:val="8FD443F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10374362"/>
    <w:multiLevelType w:val="multilevel"/>
    <w:tmpl w:val="6E029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9F2A92"/>
    <w:multiLevelType w:val="multilevel"/>
    <w:tmpl w:val="BC689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FA6B74"/>
    <w:multiLevelType w:val="multilevel"/>
    <w:tmpl w:val="17D47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1623D1"/>
    <w:multiLevelType w:val="hybridMultilevel"/>
    <w:tmpl w:val="56DCC60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344EB"/>
    <w:multiLevelType w:val="multilevel"/>
    <w:tmpl w:val="5C78F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4F5874"/>
    <w:multiLevelType w:val="multilevel"/>
    <w:tmpl w:val="678E5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D32808"/>
    <w:multiLevelType w:val="multilevel"/>
    <w:tmpl w:val="0F2EB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363220"/>
    <w:multiLevelType w:val="multilevel"/>
    <w:tmpl w:val="8728A2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BB57ADA"/>
    <w:multiLevelType w:val="multilevel"/>
    <w:tmpl w:val="AFB2D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0916DFE"/>
    <w:multiLevelType w:val="multilevel"/>
    <w:tmpl w:val="117CF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38F2BE3"/>
    <w:multiLevelType w:val="multilevel"/>
    <w:tmpl w:val="D5BE8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5596883"/>
    <w:multiLevelType w:val="multilevel"/>
    <w:tmpl w:val="6A4E9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FF68E9"/>
    <w:multiLevelType w:val="multilevel"/>
    <w:tmpl w:val="14FEC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8D33D92"/>
    <w:multiLevelType w:val="multilevel"/>
    <w:tmpl w:val="ADFC4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F6135E0"/>
    <w:multiLevelType w:val="multilevel"/>
    <w:tmpl w:val="2528C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F8511C5"/>
    <w:multiLevelType w:val="multilevel"/>
    <w:tmpl w:val="BEB60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4470793"/>
    <w:multiLevelType w:val="multilevel"/>
    <w:tmpl w:val="636CB7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6D34E10"/>
    <w:multiLevelType w:val="multilevel"/>
    <w:tmpl w:val="0214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8140E0"/>
    <w:multiLevelType w:val="multilevel"/>
    <w:tmpl w:val="4088FF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56C75EE8"/>
    <w:multiLevelType w:val="multilevel"/>
    <w:tmpl w:val="89748C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DB12876"/>
    <w:multiLevelType w:val="multilevel"/>
    <w:tmpl w:val="E4B0B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3946806"/>
    <w:multiLevelType w:val="multilevel"/>
    <w:tmpl w:val="0EF67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6F52297"/>
    <w:multiLevelType w:val="multilevel"/>
    <w:tmpl w:val="4D7E3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8F95881"/>
    <w:multiLevelType w:val="multilevel"/>
    <w:tmpl w:val="493284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C8B4EFE"/>
    <w:multiLevelType w:val="multilevel"/>
    <w:tmpl w:val="5B9866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5E763C3"/>
    <w:multiLevelType w:val="multilevel"/>
    <w:tmpl w:val="FBA6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72C35CE"/>
    <w:multiLevelType w:val="multilevel"/>
    <w:tmpl w:val="B83A0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BBE68F9"/>
    <w:multiLevelType w:val="multilevel"/>
    <w:tmpl w:val="AA1C8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C006A2E"/>
    <w:multiLevelType w:val="multilevel"/>
    <w:tmpl w:val="8F82D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F2454F7"/>
    <w:multiLevelType w:val="multilevel"/>
    <w:tmpl w:val="BEF8A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25"/>
  </w:num>
  <w:num w:numId="3">
    <w:abstractNumId w:val="4"/>
  </w:num>
  <w:num w:numId="4">
    <w:abstractNumId w:val="0"/>
  </w:num>
  <w:num w:numId="5">
    <w:abstractNumId w:val="17"/>
  </w:num>
  <w:num w:numId="6">
    <w:abstractNumId w:val="2"/>
  </w:num>
  <w:num w:numId="7">
    <w:abstractNumId w:val="30"/>
  </w:num>
  <w:num w:numId="8">
    <w:abstractNumId w:val="21"/>
  </w:num>
  <w:num w:numId="9">
    <w:abstractNumId w:val="27"/>
  </w:num>
  <w:num w:numId="10">
    <w:abstractNumId w:val="6"/>
  </w:num>
  <w:num w:numId="11">
    <w:abstractNumId w:val="26"/>
  </w:num>
  <w:num w:numId="12">
    <w:abstractNumId w:val="16"/>
  </w:num>
  <w:num w:numId="13">
    <w:abstractNumId w:val="14"/>
  </w:num>
  <w:num w:numId="14">
    <w:abstractNumId w:val="24"/>
  </w:num>
  <w:num w:numId="15">
    <w:abstractNumId w:val="35"/>
  </w:num>
  <w:num w:numId="16">
    <w:abstractNumId w:val="20"/>
  </w:num>
  <w:num w:numId="17">
    <w:abstractNumId w:val="7"/>
  </w:num>
  <w:num w:numId="18">
    <w:abstractNumId w:val="19"/>
  </w:num>
  <w:num w:numId="19">
    <w:abstractNumId w:val="11"/>
  </w:num>
  <w:num w:numId="20">
    <w:abstractNumId w:val="34"/>
  </w:num>
  <w:num w:numId="21">
    <w:abstractNumId w:val="29"/>
  </w:num>
  <w:num w:numId="22">
    <w:abstractNumId w:val="33"/>
  </w:num>
  <w:num w:numId="23">
    <w:abstractNumId w:val="12"/>
  </w:num>
  <w:num w:numId="24">
    <w:abstractNumId w:val="5"/>
  </w:num>
  <w:num w:numId="25">
    <w:abstractNumId w:val="28"/>
  </w:num>
  <w:num w:numId="26">
    <w:abstractNumId w:val="13"/>
  </w:num>
  <w:num w:numId="27">
    <w:abstractNumId w:val="15"/>
  </w:num>
  <w:num w:numId="28">
    <w:abstractNumId w:val="9"/>
  </w:num>
  <w:num w:numId="29">
    <w:abstractNumId w:val="3"/>
  </w:num>
  <w:num w:numId="30">
    <w:abstractNumId w:val="1"/>
  </w:num>
  <w:num w:numId="31">
    <w:abstractNumId w:val="31"/>
  </w:num>
  <w:num w:numId="32">
    <w:abstractNumId w:val="36"/>
  </w:num>
  <w:num w:numId="33">
    <w:abstractNumId w:val="32"/>
  </w:num>
  <w:num w:numId="34">
    <w:abstractNumId w:val="22"/>
  </w:num>
  <w:num w:numId="35">
    <w:abstractNumId w:val="18"/>
  </w:num>
  <w:num w:numId="36">
    <w:abstractNumId w:val="10"/>
  </w:num>
  <w:num w:numId="37">
    <w:abstractNumId w:val="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0E30"/>
    <w:rsid w:val="00011417"/>
    <w:rsid w:val="0001185F"/>
    <w:rsid w:val="0002210C"/>
    <w:rsid w:val="00041881"/>
    <w:rsid w:val="000633A2"/>
    <w:rsid w:val="00063FC2"/>
    <w:rsid w:val="0008186F"/>
    <w:rsid w:val="00083A87"/>
    <w:rsid w:val="000954CB"/>
    <w:rsid w:val="00096C70"/>
    <w:rsid w:val="000A3314"/>
    <w:rsid w:val="000A6FE6"/>
    <w:rsid w:val="000B1EC3"/>
    <w:rsid w:val="000B51D7"/>
    <w:rsid w:val="000C1F99"/>
    <w:rsid w:val="000C37EC"/>
    <w:rsid w:val="000D1A69"/>
    <w:rsid w:val="000D7470"/>
    <w:rsid w:val="000E3C7B"/>
    <w:rsid w:val="000F5543"/>
    <w:rsid w:val="001020E6"/>
    <w:rsid w:val="0011372D"/>
    <w:rsid w:val="001219FF"/>
    <w:rsid w:val="001252DD"/>
    <w:rsid w:val="00134386"/>
    <w:rsid w:val="00141156"/>
    <w:rsid w:val="00155180"/>
    <w:rsid w:val="00156714"/>
    <w:rsid w:val="0016137D"/>
    <w:rsid w:val="00163F21"/>
    <w:rsid w:val="00172CB5"/>
    <w:rsid w:val="00180B2A"/>
    <w:rsid w:val="00182ED0"/>
    <w:rsid w:val="00183C6D"/>
    <w:rsid w:val="00183DA2"/>
    <w:rsid w:val="0018442D"/>
    <w:rsid w:val="00190C57"/>
    <w:rsid w:val="001961FB"/>
    <w:rsid w:val="001B223C"/>
    <w:rsid w:val="001B28D8"/>
    <w:rsid w:val="001C5793"/>
    <w:rsid w:val="001C65BC"/>
    <w:rsid w:val="001C7ABE"/>
    <w:rsid w:val="001D0B55"/>
    <w:rsid w:val="001D0CCA"/>
    <w:rsid w:val="001E2E95"/>
    <w:rsid w:val="0020623D"/>
    <w:rsid w:val="00215BB5"/>
    <w:rsid w:val="00216823"/>
    <w:rsid w:val="00223857"/>
    <w:rsid w:val="00225A3D"/>
    <w:rsid w:val="00227F42"/>
    <w:rsid w:val="00230D98"/>
    <w:rsid w:val="002434D8"/>
    <w:rsid w:val="00257479"/>
    <w:rsid w:val="0027402A"/>
    <w:rsid w:val="00274C4A"/>
    <w:rsid w:val="002944AF"/>
    <w:rsid w:val="0029620C"/>
    <w:rsid w:val="002B6919"/>
    <w:rsid w:val="002C08C5"/>
    <w:rsid w:val="002C5C4C"/>
    <w:rsid w:val="002D3817"/>
    <w:rsid w:val="002E0FB5"/>
    <w:rsid w:val="002E438C"/>
    <w:rsid w:val="002E5D71"/>
    <w:rsid w:val="002E7664"/>
    <w:rsid w:val="002F47A4"/>
    <w:rsid w:val="00307AC8"/>
    <w:rsid w:val="00311909"/>
    <w:rsid w:val="0031256E"/>
    <w:rsid w:val="00321F0C"/>
    <w:rsid w:val="003270F0"/>
    <w:rsid w:val="0032711B"/>
    <w:rsid w:val="00330512"/>
    <w:rsid w:val="00332445"/>
    <w:rsid w:val="00336689"/>
    <w:rsid w:val="00363435"/>
    <w:rsid w:val="00367A9A"/>
    <w:rsid w:val="003A1333"/>
    <w:rsid w:val="003A7E9F"/>
    <w:rsid w:val="003B420F"/>
    <w:rsid w:val="003C1386"/>
    <w:rsid w:val="003D789F"/>
    <w:rsid w:val="003E7325"/>
    <w:rsid w:val="003F465C"/>
    <w:rsid w:val="00403BBA"/>
    <w:rsid w:val="00407BA4"/>
    <w:rsid w:val="00411095"/>
    <w:rsid w:val="0041723B"/>
    <w:rsid w:val="00420F54"/>
    <w:rsid w:val="00425F7F"/>
    <w:rsid w:val="004306D4"/>
    <w:rsid w:val="00435135"/>
    <w:rsid w:val="0045097F"/>
    <w:rsid w:val="00451E9B"/>
    <w:rsid w:val="00452EAB"/>
    <w:rsid w:val="00464E4A"/>
    <w:rsid w:val="00481F11"/>
    <w:rsid w:val="00482152"/>
    <w:rsid w:val="00496F7B"/>
    <w:rsid w:val="004D5FC1"/>
    <w:rsid w:val="004E1781"/>
    <w:rsid w:val="004E2836"/>
    <w:rsid w:val="004F78B3"/>
    <w:rsid w:val="005027E9"/>
    <w:rsid w:val="005116A5"/>
    <w:rsid w:val="005258CC"/>
    <w:rsid w:val="00525FE6"/>
    <w:rsid w:val="005401DB"/>
    <w:rsid w:val="0054741C"/>
    <w:rsid w:val="00552BF6"/>
    <w:rsid w:val="00555CC0"/>
    <w:rsid w:val="00575748"/>
    <w:rsid w:val="005824D5"/>
    <w:rsid w:val="005875FB"/>
    <w:rsid w:val="005946C3"/>
    <w:rsid w:val="00595B31"/>
    <w:rsid w:val="005962C9"/>
    <w:rsid w:val="005B1DA6"/>
    <w:rsid w:val="005B4D45"/>
    <w:rsid w:val="005B66F7"/>
    <w:rsid w:val="005D3A90"/>
    <w:rsid w:val="005E0486"/>
    <w:rsid w:val="005F797A"/>
    <w:rsid w:val="0061495B"/>
    <w:rsid w:val="0062596E"/>
    <w:rsid w:val="00633472"/>
    <w:rsid w:val="00652802"/>
    <w:rsid w:val="00663209"/>
    <w:rsid w:val="00663B28"/>
    <w:rsid w:val="00664798"/>
    <w:rsid w:val="0067080E"/>
    <w:rsid w:val="00674B01"/>
    <w:rsid w:val="0067505E"/>
    <w:rsid w:val="00677D81"/>
    <w:rsid w:val="006817DA"/>
    <w:rsid w:val="006A07D0"/>
    <w:rsid w:val="006B1DFE"/>
    <w:rsid w:val="006B4ED7"/>
    <w:rsid w:val="006C2151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14299"/>
    <w:rsid w:val="007261A4"/>
    <w:rsid w:val="007339E4"/>
    <w:rsid w:val="00757255"/>
    <w:rsid w:val="00764623"/>
    <w:rsid w:val="00770130"/>
    <w:rsid w:val="00771753"/>
    <w:rsid w:val="00782727"/>
    <w:rsid w:val="00786A5D"/>
    <w:rsid w:val="007A2217"/>
    <w:rsid w:val="007A6A00"/>
    <w:rsid w:val="00812930"/>
    <w:rsid w:val="00814CB3"/>
    <w:rsid w:val="00820B9E"/>
    <w:rsid w:val="00827571"/>
    <w:rsid w:val="00827E5B"/>
    <w:rsid w:val="00833EAE"/>
    <w:rsid w:val="0085369C"/>
    <w:rsid w:val="00854B82"/>
    <w:rsid w:val="008616B2"/>
    <w:rsid w:val="00864E82"/>
    <w:rsid w:val="008777F2"/>
    <w:rsid w:val="00883274"/>
    <w:rsid w:val="008A7BC3"/>
    <w:rsid w:val="008D1C13"/>
    <w:rsid w:val="008D2F49"/>
    <w:rsid w:val="008D4885"/>
    <w:rsid w:val="008E7884"/>
    <w:rsid w:val="00900B25"/>
    <w:rsid w:val="00925746"/>
    <w:rsid w:val="00927386"/>
    <w:rsid w:val="009275F9"/>
    <w:rsid w:val="0094287C"/>
    <w:rsid w:val="00962F7A"/>
    <w:rsid w:val="0097235A"/>
    <w:rsid w:val="00984144"/>
    <w:rsid w:val="00996042"/>
    <w:rsid w:val="009968D8"/>
    <w:rsid w:val="009A1776"/>
    <w:rsid w:val="009C3568"/>
    <w:rsid w:val="009C7C40"/>
    <w:rsid w:val="009D0DB0"/>
    <w:rsid w:val="009F070B"/>
    <w:rsid w:val="00A068F9"/>
    <w:rsid w:val="00A103B0"/>
    <w:rsid w:val="00A16E98"/>
    <w:rsid w:val="00A33981"/>
    <w:rsid w:val="00A37F29"/>
    <w:rsid w:val="00A475C2"/>
    <w:rsid w:val="00A61FD3"/>
    <w:rsid w:val="00A80D05"/>
    <w:rsid w:val="00A90B08"/>
    <w:rsid w:val="00AA4F62"/>
    <w:rsid w:val="00AC0280"/>
    <w:rsid w:val="00AC3BA3"/>
    <w:rsid w:val="00AC610F"/>
    <w:rsid w:val="00AD5CC0"/>
    <w:rsid w:val="00B052D6"/>
    <w:rsid w:val="00B0673C"/>
    <w:rsid w:val="00B157D1"/>
    <w:rsid w:val="00B1653F"/>
    <w:rsid w:val="00B20D06"/>
    <w:rsid w:val="00B268E8"/>
    <w:rsid w:val="00B438C7"/>
    <w:rsid w:val="00B43FE0"/>
    <w:rsid w:val="00B44727"/>
    <w:rsid w:val="00B544CC"/>
    <w:rsid w:val="00B603D7"/>
    <w:rsid w:val="00B63984"/>
    <w:rsid w:val="00B805BA"/>
    <w:rsid w:val="00B8201C"/>
    <w:rsid w:val="00B863B1"/>
    <w:rsid w:val="00BB4CFC"/>
    <w:rsid w:val="00BB5686"/>
    <w:rsid w:val="00BB578F"/>
    <w:rsid w:val="00BB7776"/>
    <w:rsid w:val="00BC5DB4"/>
    <w:rsid w:val="00BD0FD2"/>
    <w:rsid w:val="00BE28EA"/>
    <w:rsid w:val="00BE3A4A"/>
    <w:rsid w:val="00BE66C9"/>
    <w:rsid w:val="00C0116C"/>
    <w:rsid w:val="00C11E6A"/>
    <w:rsid w:val="00C34E54"/>
    <w:rsid w:val="00C41478"/>
    <w:rsid w:val="00C4163F"/>
    <w:rsid w:val="00C520B2"/>
    <w:rsid w:val="00C55203"/>
    <w:rsid w:val="00C63DCD"/>
    <w:rsid w:val="00C67D86"/>
    <w:rsid w:val="00C71A5D"/>
    <w:rsid w:val="00C72828"/>
    <w:rsid w:val="00C76733"/>
    <w:rsid w:val="00C830A4"/>
    <w:rsid w:val="00CB2BE0"/>
    <w:rsid w:val="00CC19A3"/>
    <w:rsid w:val="00CD20DD"/>
    <w:rsid w:val="00CD26A6"/>
    <w:rsid w:val="00CE2257"/>
    <w:rsid w:val="00CE69FC"/>
    <w:rsid w:val="00CF2F0D"/>
    <w:rsid w:val="00CF4DE2"/>
    <w:rsid w:val="00CF7EE9"/>
    <w:rsid w:val="00D01764"/>
    <w:rsid w:val="00D24D59"/>
    <w:rsid w:val="00D37D0D"/>
    <w:rsid w:val="00D534D2"/>
    <w:rsid w:val="00D661B0"/>
    <w:rsid w:val="00D710CA"/>
    <w:rsid w:val="00D75779"/>
    <w:rsid w:val="00D75E00"/>
    <w:rsid w:val="00D77218"/>
    <w:rsid w:val="00DB1C5E"/>
    <w:rsid w:val="00DC1A52"/>
    <w:rsid w:val="00DC318F"/>
    <w:rsid w:val="00DE2CFB"/>
    <w:rsid w:val="00DE6E4B"/>
    <w:rsid w:val="00DF4337"/>
    <w:rsid w:val="00DF7F2C"/>
    <w:rsid w:val="00E01498"/>
    <w:rsid w:val="00E164A2"/>
    <w:rsid w:val="00E20DE7"/>
    <w:rsid w:val="00E23A69"/>
    <w:rsid w:val="00E32EA7"/>
    <w:rsid w:val="00E43122"/>
    <w:rsid w:val="00E43F02"/>
    <w:rsid w:val="00E542B8"/>
    <w:rsid w:val="00E626E7"/>
    <w:rsid w:val="00E67D78"/>
    <w:rsid w:val="00E77DC4"/>
    <w:rsid w:val="00E8553D"/>
    <w:rsid w:val="00E91920"/>
    <w:rsid w:val="00EA7645"/>
    <w:rsid w:val="00EB5907"/>
    <w:rsid w:val="00EB6387"/>
    <w:rsid w:val="00EC1601"/>
    <w:rsid w:val="00EC62DF"/>
    <w:rsid w:val="00ED27EB"/>
    <w:rsid w:val="00EE314E"/>
    <w:rsid w:val="00EF21E1"/>
    <w:rsid w:val="00EF481E"/>
    <w:rsid w:val="00F064D6"/>
    <w:rsid w:val="00F10916"/>
    <w:rsid w:val="00F23002"/>
    <w:rsid w:val="00F33436"/>
    <w:rsid w:val="00F33574"/>
    <w:rsid w:val="00F5389F"/>
    <w:rsid w:val="00F63F47"/>
    <w:rsid w:val="00F91276"/>
    <w:rsid w:val="00FA00D0"/>
    <w:rsid w:val="00FB1D55"/>
    <w:rsid w:val="00FB30A3"/>
    <w:rsid w:val="00FB5A07"/>
    <w:rsid w:val="00FC5EE3"/>
    <w:rsid w:val="00FF4479"/>
    <w:rsid w:val="00FF7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103B0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82E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82ED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182ED0"/>
    <w:rPr>
      <w:b/>
      <w:bCs/>
    </w:rPr>
  </w:style>
  <w:style w:type="character" w:customStyle="1" w:styleId="Ttulo2Char">
    <w:name w:val="Título 2 Char"/>
    <w:basedOn w:val="Fontepargpadro"/>
    <w:link w:val="Ttulo2"/>
    <w:uiPriority w:val="9"/>
    <w:rsid w:val="00182ED0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relative">
    <w:name w:val="relative"/>
    <w:basedOn w:val="Fontepargpadro"/>
    <w:rsid w:val="00182ED0"/>
  </w:style>
  <w:style w:type="paragraph" w:customStyle="1" w:styleId="not-prose">
    <w:name w:val="not-prose"/>
    <w:basedOn w:val="Normal"/>
    <w:rsid w:val="00182ED0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Ttulo3Char">
    <w:name w:val="Título 3 Char"/>
    <w:basedOn w:val="Fontepargpadro"/>
    <w:link w:val="Ttulo3"/>
    <w:uiPriority w:val="9"/>
    <w:rsid w:val="00182ED0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character" w:styleId="nfase">
    <w:name w:val="Emphasis"/>
    <w:basedOn w:val="Fontepargpadro"/>
    <w:uiPriority w:val="20"/>
    <w:qFormat/>
    <w:rsid w:val="00FB5A07"/>
    <w:rPr>
      <w:i/>
      <w:iCs/>
    </w:r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semiHidden/>
    <w:unhideWhenUsed/>
    <w:rsid w:val="007339E4"/>
    <w:pPr>
      <w:pBdr>
        <w:bottom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superior-zdoformulrioChar">
    <w:name w:val="Parte superior-z do formulário Char"/>
    <w:basedOn w:val="Fontepargpadro"/>
    <w:link w:val="Partesuperior-zdoformulrio"/>
    <w:uiPriority w:val="99"/>
    <w:semiHidden/>
    <w:rsid w:val="007339E4"/>
    <w:rPr>
      <w:rFonts w:ascii="Arial" w:eastAsia="Times New Roman" w:hAnsi="Arial" w:cs="Arial"/>
      <w:vanish/>
      <w:sz w:val="16"/>
      <w:szCs w:val="16"/>
      <w:lang w:eastAsia="pt-BR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semiHidden/>
    <w:unhideWhenUsed/>
    <w:rsid w:val="007339E4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ParteinferiordoformulrioChar">
    <w:name w:val="Parte inferior do formulário Char"/>
    <w:basedOn w:val="Fontepargpadro"/>
    <w:link w:val="Parteinferiordoformulrio"/>
    <w:uiPriority w:val="99"/>
    <w:semiHidden/>
    <w:rsid w:val="007339E4"/>
    <w:rPr>
      <w:rFonts w:ascii="Arial" w:eastAsia="Times New Roman" w:hAnsi="Arial" w:cs="Arial"/>
      <w:vanish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86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9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4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267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51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1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0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0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33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90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8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53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355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466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61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40243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0128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9212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45936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05195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8346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953428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388384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776473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741311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4095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5421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8898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203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5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494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98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939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91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41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13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173292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22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280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6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9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4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97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07CCB6-FE0C-488F-AFD4-C1FE82A4F4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2</Pages>
  <Words>614</Words>
  <Characters>3320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4</cp:revision>
  <cp:lastPrinted>2026-01-28T10:52:00Z</cp:lastPrinted>
  <dcterms:created xsi:type="dcterms:W3CDTF">2026-01-28T10:53:00Z</dcterms:created>
  <dcterms:modified xsi:type="dcterms:W3CDTF">2026-02-02T16:17:00Z</dcterms:modified>
</cp:coreProperties>
</file>